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OPIS PRZEDMIOTU ZAMÓWIENIA</w:t>
        <w:br/>
        <w:t>TECHNICZNO-FUNKCJONALNY</w:t>
        <w:br/>
      </w:r>
      <w:r>
        <w:rPr>
          <w:rFonts w:cs="Times New Roman" w:ascii="Times New Roman" w:hAnsi="Times New Roman"/>
          <w:sz w:val="24"/>
          <w:szCs w:val="24"/>
        </w:rPr>
        <w:t>(Modernizacja i rozbudowa systemu monitoringu wizyjnego CCTV IP WUW)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rPr/>
      </w:pPr>
      <w:r>
        <w:rPr/>
        <w:t>Przedmiot zamówienia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modernizacja i rozbudowa Sieciowego Systemu Monitoringu Wizyjnego CCTV IP w Wielkopolskim Urzędzie Wojewódzkim w Poznaniu.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rPr/>
      </w:pPr>
      <w:r>
        <w:rPr/>
        <w:t>Zakres modernizacji, wymagane zmiany i funkcjonalności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Rozbudowa systemu obejmuje m.in. wymianę i montaż dwóch uszkodzonych kamer IP na elewacji budynków A i C oraz montaż dwóch nowych kamer na metalowych słupach w otoczeniu szlabanów parkingowych  Zamawiającego. Zakres prac modernizacyjnych obejmuje również wymianę głównych stacji wizyjnych/zarządzających oraz migrację oprogramowania SeeTec Cayuga S50 na platformę </w:t>
      </w:r>
      <w:r>
        <w:rPr>
          <w:rFonts w:cs="Times New Roman" w:ascii="Times New Roman" w:hAnsi="Times New Roman"/>
          <w:b/>
          <w:sz w:val="24"/>
          <w:szCs w:val="24"/>
        </w:rPr>
        <w:t>SeeTec Cayuga Infiinity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Rozbudowa systemu powinna zostać wykonana z wykorzystaniem istniejącej platformy SeeTec Cayuga, którą Zamawiający wykorzystuje już w kilku obiektach w Poznaniu, w celu zapewnienia kompatybilności systemu, możliwości zarządzania oraz monitorowania pracy urządzeń z Głównej Stacji Zarządzającej (SMW-MGMT). Zakres prac obejmuje również aktualizację i integrację serwera zainstalowanego w delegaturze Wielkopolskiego Urzędu Wojewódzkiego w Koninie z nowo dostarczoną platformą </w:t>
      </w:r>
      <w:r>
        <w:rPr>
          <w:rFonts w:cs="Times New Roman" w:ascii="Times New Roman" w:hAnsi="Times New Roman"/>
          <w:b/>
          <w:sz w:val="24"/>
          <w:szCs w:val="24"/>
        </w:rPr>
        <w:t>SeeTec Cayuga Infiinity</w:t>
      </w:r>
      <w:r>
        <w:rPr>
          <w:rFonts w:cs="Times New Roman" w:ascii="Times New Roman" w:hAnsi="Times New Roman"/>
          <w:sz w:val="24"/>
          <w:szCs w:val="24"/>
        </w:rPr>
        <w:t xml:space="preserve"> w celu centralizacji zarządzania i ujednolicenia wersji oprogramowania.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wykorzystaniem przewodów UTP kat.6 LSOH w kolorze zielonym należy częściowo rozbudować okablowanie strukturalne dla dwóch dodatkowych kamer ulokowanych fizycznie na słupach w obszarach szlabanów parkingowych. Zamawiający udostępni w możliwym zakresie część instalacji kablowych na potrzeby montażu dwóch kamer </w:t>
      </w:r>
      <w:r>
        <w:rPr>
          <w:rFonts w:cs="Times New Roman" w:ascii="Times New Roman" w:hAnsi="Times New Roman"/>
          <w:sz w:val="24"/>
          <w:szCs w:val="24"/>
        </w:rPr>
        <w:t>montowanych</w:t>
      </w:r>
      <w:r>
        <w:rPr>
          <w:rFonts w:cs="Times New Roman" w:ascii="Times New Roman" w:hAnsi="Times New Roman"/>
          <w:sz w:val="24"/>
          <w:szCs w:val="24"/>
        </w:rPr>
        <w:t xml:space="preserve"> na metalowych słupach w otoczeniu szlabanów parkingu przy budynku B.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Rozbudowany fragment systemu powinien być przystosowany do pracy w trybie 24/7 oraz realizować archiwizację w oparciu o detekcję ruchu dla każdej zdefiniowanej w systemie kamery. Realizacja zapisu oraz późniejsze odtwarzanie akcji alarmowej powinny odbywać się z najwyższymi możliwymi wartościami rozdzielczości, jakości i prędkości zapisu. Zamawiający udostępni przestrzeń dyskową dla przewidzianych dodatkowo kamer.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rPr/>
      </w:pPr>
      <w:r>
        <w:rPr/>
        <w:t>Szczegółowy opis modernizacji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rPr>
          <w:b w:val="false"/>
          <w:b w:val="false"/>
        </w:rPr>
      </w:pPr>
      <w:r>
        <w:rPr>
          <w:b w:val="false"/>
        </w:rPr>
        <w:t>Dostarczenie i montaż 2 kamer IP  zgodnie z poniższą specyfikacją: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</w:rPr>
      </w:pPr>
      <w:r>
        <w:rPr>
          <w:b w:val="false"/>
        </w:rPr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3"/>
        <w:gridCol w:w="963"/>
        <w:gridCol w:w="6060"/>
      </w:tblGrid>
      <w:tr>
        <w:trPr/>
        <w:tc>
          <w:tcPr>
            <w:tcW w:w="226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Kamera</w:t>
            </w:r>
          </w:p>
        </w:tc>
        <w:tc>
          <w:tcPr>
            <w:tcW w:w="96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 xml:space="preserve">Ilość </w:t>
            </w:r>
          </w:p>
        </w:tc>
        <w:tc>
          <w:tcPr>
            <w:tcW w:w="6060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b w:val="false"/>
                <w:b w:val="false"/>
                <w:color w:val="11053B"/>
              </w:rPr>
            </w:pPr>
            <w:r>
              <w:rPr>
                <w:b w:val="false"/>
                <w:color w:val="11053B"/>
              </w:rPr>
              <w:t>Kamera zewnętrzna (kopuła)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11053B"/>
                <w:sz w:val="20"/>
                <w:szCs w:val="20"/>
              </w:rPr>
              <w:t>IPC-HDBW8232E-ZH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  <w:t xml:space="preserve">  </w:t>
            </w:r>
            <w:r>
              <w:rPr/>
              <w:t>2 szt.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Kamery muszą być dostarczone wraz z licencją na uruchomienie w systemie </w:t>
            </w:r>
            <w:r>
              <w:rPr/>
              <w:t>SeeTec</w:t>
            </w:r>
            <w:r>
              <w:rPr>
                <w:b w:val="false"/>
              </w:rPr>
              <w:t xml:space="preserve"> </w:t>
            </w:r>
            <w:r>
              <w:rPr/>
              <w:t>Cayuga</w:t>
            </w:r>
            <w:r>
              <w:rPr>
                <w:b w:val="false"/>
              </w:rPr>
              <w:t xml:space="preserve"> </w:t>
            </w:r>
            <w:r>
              <w:rPr/>
              <w:t>Infiinity</w:t>
            </w:r>
            <w:r>
              <w:rPr>
                <w:b w:val="false"/>
              </w:rPr>
              <w:t xml:space="preserve"> oraz najnowszym stabilnym</w:t>
            </w:r>
            <w:r>
              <w:rPr/>
              <w:t xml:space="preserve"> </w:t>
            </w:r>
            <w:r>
              <w:rPr>
                <w:b w:val="false"/>
              </w:rPr>
              <w:t>oprogramowaniem układowym.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Kamery muszą posiadać elementy montażowe do mocowania pionowego na metalowym słupie - 2 sztuki. Kamery będą montowane na zewnątrz.  Wymagane zasilanie </w:t>
            </w:r>
            <w:r>
              <w:rPr/>
              <w:t>PoE+ 48V (802.3at)</w:t>
            </w:r>
            <w:r>
              <w:rPr>
                <w:b w:val="false"/>
              </w:rPr>
              <w:t>.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rPr>
          <w:b w:val="false"/>
          <w:b w:val="false"/>
        </w:rPr>
      </w:pPr>
      <w:r>
        <w:rPr>
          <w:b w:val="false"/>
        </w:rPr>
        <w:t>Dostarczenie i wymiana 2 uszkodzonych kamer IP  zgodnie z poniższą specyfikacją: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</w:rPr>
      </w:pPr>
      <w:r>
        <w:rPr>
          <w:b w:val="false"/>
        </w:rPr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3"/>
        <w:gridCol w:w="963"/>
        <w:gridCol w:w="6060"/>
      </w:tblGrid>
      <w:tr>
        <w:trPr/>
        <w:tc>
          <w:tcPr>
            <w:tcW w:w="226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Kamera</w:t>
            </w:r>
          </w:p>
        </w:tc>
        <w:tc>
          <w:tcPr>
            <w:tcW w:w="96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 xml:space="preserve">Ilość </w:t>
            </w:r>
          </w:p>
        </w:tc>
        <w:tc>
          <w:tcPr>
            <w:tcW w:w="6060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b w:val="false"/>
                <w:b w:val="false"/>
                <w:color w:val="11053B"/>
              </w:rPr>
            </w:pPr>
            <w:r>
              <w:rPr>
                <w:b w:val="false"/>
                <w:color w:val="11053B"/>
              </w:rPr>
              <w:t>Kamera zewnętrzna (kopuła)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rPr>
                <w:color w:val="11053B"/>
                <w:sz w:val="20"/>
                <w:szCs w:val="20"/>
              </w:rPr>
            </w:pPr>
            <w:r>
              <w:rPr>
                <w:color w:val="11053B"/>
                <w:sz w:val="20"/>
                <w:szCs w:val="20"/>
              </w:rPr>
              <w:t>IPC-HDBW8232E-ZH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color w:val="11053B"/>
              </w:rPr>
            </w:pPr>
            <w:r>
              <w:rPr>
                <w:color w:val="11053B"/>
              </w:rPr>
              <w:t>oraz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b w:val="false"/>
                <w:b w:val="false"/>
                <w:color w:val="11053B"/>
              </w:rPr>
            </w:pPr>
            <w:r>
              <w:rPr>
                <w:b w:val="false"/>
                <w:color w:val="11053B"/>
              </w:rPr>
              <w:t>Kamera zewnętrzna (kompakt)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IPC-HF8232F-E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obiektyw PLZ1040-D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  <w:t xml:space="preserve">  </w:t>
            </w:r>
            <w:r>
              <w:rPr/>
              <w:t>2 szt.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Kamery muszą być dostarczone wraz z licencją na uruchomienie w systemie </w:t>
            </w:r>
            <w:r>
              <w:rPr/>
              <w:t>SeeTec</w:t>
            </w:r>
            <w:r>
              <w:rPr>
                <w:b w:val="false"/>
              </w:rPr>
              <w:t xml:space="preserve"> </w:t>
            </w:r>
            <w:r>
              <w:rPr/>
              <w:t>Cayuga</w:t>
            </w:r>
            <w:r>
              <w:rPr>
                <w:b w:val="false"/>
              </w:rPr>
              <w:t xml:space="preserve"> </w:t>
            </w:r>
            <w:r>
              <w:rPr/>
              <w:t>Infiinity</w:t>
            </w:r>
            <w:r>
              <w:rPr>
                <w:b w:val="false"/>
              </w:rPr>
              <w:t xml:space="preserve"> oraz najnowszym stabilnym</w:t>
            </w:r>
            <w:r>
              <w:rPr/>
              <w:t xml:space="preserve"> </w:t>
            </w:r>
            <w:r>
              <w:rPr>
                <w:b w:val="false"/>
              </w:rPr>
              <w:t>oprogramowaniem układowym.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Kamery będą montowane na zewnątrz. Wymagane zasilanie </w:t>
            </w:r>
            <w:r>
              <w:rPr/>
              <w:t>PoE+ 48V (802.3at)</w:t>
            </w:r>
            <w:r>
              <w:rPr>
                <w:b w:val="false"/>
              </w:rPr>
              <w:t>.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>Wymiana Głównej Stacji Monitoringu Wizyjnego (SMW-1A) na portierni głównej bud. A umożliwiającej podłączenie obecnie funkcjonującej ściany wizyjnej złożonej z 4 monitorów 42”.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/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93"/>
        <w:gridCol w:w="842"/>
        <w:gridCol w:w="5387"/>
      </w:tblGrid>
      <w:tr>
        <w:trPr/>
        <w:tc>
          <w:tcPr>
            <w:tcW w:w="309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SMW-1A</w:t>
            </w:r>
          </w:p>
        </w:tc>
        <w:tc>
          <w:tcPr>
            <w:tcW w:w="842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 xml:space="preserve">Ilość </w:t>
            </w:r>
          </w:p>
        </w:tc>
        <w:tc>
          <w:tcPr>
            <w:tcW w:w="5387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3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DELL Precision T3630 MT</w:t>
            </w:r>
          </w:p>
        </w:tc>
        <w:tc>
          <w:tcPr>
            <w:tcW w:w="84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1 szt.</w:t>
            </w:r>
          </w:p>
        </w:tc>
        <w:tc>
          <w:tcPr>
            <w:tcW w:w="538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Obudowa Mini Tower,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Procesor i7-8700,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HDD SSD 256GB,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RAM 16GB DDR4, 2666 MHz,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Dodatkowa karta GeForce GTX 1060,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Interfejs sieciowy 1 Gbit/s,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Napęd DVD,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Windows 10 Pro,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3 YNBD,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Praca w trybie 24h,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4 kable HDMI 3m każdy,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Stacja do całodobowej obsługi 80 kamer IP.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 xml:space="preserve">Wymiana Głównej Stacji Zarządzającej Monitoringiem Wizyjnym (SMW-MGMT) do zarządzania centralnego systemem </w:t>
      </w:r>
      <w:r>
        <w:rPr/>
        <w:t>SeeTec Cayuga</w:t>
      </w:r>
      <w:r>
        <w:rPr>
          <w:b w:val="false"/>
        </w:rPr>
        <w:t xml:space="preserve"> </w:t>
      </w:r>
      <w:r>
        <w:rPr/>
        <w:t>Infiinity</w:t>
      </w:r>
      <w:r>
        <w:rPr>
          <w:b w:val="false"/>
        </w:rPr>
        <w:t>:</w:t>
      </w:r>
    </w:p>
    <w:p>
      <w:pPr>
        <w:pStyle w:val="Normal"/>
        <w:spacing w:lineRule="auto" w:line="360"/>
        <w:rPr/>
      </w:pPr>
      <w:r>
        <w:rPr/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823"/>
        <w:gridCol w:w="3111"/>
      </w:tblGrid>
      <w:tr>
        <w:trPr/>
        <w:tc>
          <w:tcPr>
            <w:tcW w:w="5352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SMW-MGMT</w:t>
            </w:r>
          </w:p>
        </w:tc>
        <w:tc>
          <w:tcPr>
            <w:tcW w:w="82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 xml:space="preserve">Ilość </w:t>
            </w:r>
          </w:p>
        </w:tc>
        <w:tc>
          <w:tcPr>
            <w:tcW w:w="3111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535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DELL Precision T3630 SFF + </w:t>
            </w:r>
            <w:r>
              <w:rPr>
                <w:rFonts w:eastAsia="Times New Roman"/>
                <w:kern w:val="2"/>
                <w:lang w:val="en-US" w:eastAsia="pl-PL"/>
              </w:rPr>
              <w:t>Dual Monitor Stand - MDS19 + 2 x Dell UltaSharp U2417H 24”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 w:val="false"/>
              </w:rPr>
              <w:t>Stacja wraz z zestawem monitorów oraz przełącznikiem KVM musi współpracować w zakresie przełączania wizji ze stacją OptiPlex 7050 w obudowie SFF posiadaną przez Zamawiającego.</w:t>
            </w:r>
          </w:p>
        </w:tc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1 szt.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Obudowa SFF,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Procesor i5-8600,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HDD SSD 256GB,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HDD SATA 1TB,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RAM 8GB,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GTX 1050 Low Profile,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Dodatkowe interfejsy sieciowe 2 x 1Gbit/s,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Napęd DVD,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Windows 10 Pro,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3 YNBD,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328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2 kable HDMI 1m każdy,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425"/>
        <w:jc w:val="both"/>
        <w:rPr>
          <w:b w:val="false"/>
          <w:b w:val="false"/>
        </w:rPr>
      </w:pPr>
      <w:r>
        <w:rPr>
          <w:b w:val="false"/>
        </w:rPr>
        <w:t xml:space="preserve">Dostarczenie i wykonanie migracji oprogramowania z wersji obecnie posiadanej SeeTec Cayuga S50 do wersji </w:t>
      </w:r>
      <w:r>
        <w:rPr/>
        <w:t>SeeTec Cayuga</w:t>
      </w:r>
      <w:r>
        <w:rPr>
          <w:b w:val="false"/>
        </w:rPr>
        <w:t xml:space="preserve"> </w:t>
      </w:r>
      <w:r>
        <w:rPr/>
        <w:t xml:space="preserve">Infiinity </w:t>
      </w:r>
      <w:r>
        <w:rPr>
          <w:b w:val="false"/>
        </w:rPr>
        <w:t>w najnowszej stabilnej wersji: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/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992"/>
        <w:gridCol w:w="5493"/>
      </w:tblGrid>
      <w:tr>
        <w:trPr/>
        <w:tc>
          <w:tcPr>
            <w:tcW w:w="2801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Oprogramowanie</w:t>
            </w:r>
          </w:p>
        </w:tc>
        <w:tc>
          <w:tcPr>
            <w:tcW w:w="992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licencje</w:t>
            </w:r>
          </w:p>
        </w:tc>
        <w:tc>
          <w:tcPr>
            <w:tcW w:w="5493" w:type="dxa"/>
            <w:tcBorders/>
            <w:shd w:color="auto" w:fill="8DB3E2" w:themeFill="text2" w:themeFillTint="6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rPr/>
            </w:pPr>
            <w:r>
              <w:rPr/>
              <w:t>SeeTec</w:t>
            </w:r>
            <w:r>
              <w:rPr>
                <w:b w:val="false"/>
              </w:rPr>
              <w:t xml:space="preserve"> </w:t>
            </w:r>
            <w:r>
              <w:rPr/>
              <w:t>Cayuga</w:t>
            </w:r>
            <w:r>
              <w:rPr>
                <w:b w:val="false"/>
              </w:rPr>
              <w:t xml:space="preserve"> </w:t>
            </w:r>
            <w:r>
              <w:rPr/>
              <w:t>Infiinity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0"/>
              <w:contextualSpacing/>
              <w:jc w:val="center"/>
              <w:rPr/>
            </w:pPr>
            <w:r>
              <w:rPr/>
              <w:t>1 szt.</w:t>
            </w:r>
          </w:p>
        </w:tc>
        <w:tc>
          <w:tcPr>
            <w:tcW w:w="549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446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Brak limitów na ilości uruchamianych kamer,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446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Brak limitów na ilości uruchamianych serwerów,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446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Brak limitów na ilości uruchamianych klientów SMW - </w:t>
            </w:r>
            <w:r>
              <w:rPr/>
              <w:t>Display Agent,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446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>Brak limitów na ilość użytkowników w systemie,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446" w:hanging="360"/>
              <w:contextualSpacing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Hierarchiczna administracja i centralizacja zarządzania stacjami i serwerami - </w:t>
            </w:r>
            <w:r>
              <w:rPr>
                <w:rStyle w:val="Tablesawcellcontent"/>
              </w:rPr>
              <w:t>Central System Administration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 xml:space="preserve">Zamawiający wymaga instalacji i dostosowania nowej dostarczonej przez Wykonawcę wersji oprogramowania </w:t>
      </w:r>
      <w:r>
        <w:rPr/>
        <w:t>SeeTec</w:t>
      </w:r>
      <w:r>
        <w:rPr>
          <w:b w:val="false"/>
        </w:rPr>
        <w:t xml:space="preserve"> </w:t>
      </w:r>
      <w:r>
        <w:rPr/>
        <w:t>Cayuga</w:t>
      </w:r>
      <w:r>
        <w:rPr>
          <w:b w:val="false"/>
        </w:rPr>
        <w:t xml:space="preserve"> </w:t>
      </w:r>
      <w:r>
        <w:rPr/>
        <w:t>Infiinity</w:t>
      </w:r>
      <w:r>
        <w:rPr>
          <w:b w:val="false"/>
        </w:rPr>
        <w:t xml:space="preserve"> na: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jc w:val="both"/>
        <w:rPr>
          <w:b w:val="false"/>
          <w:b w:val="false"/>
        </w:rPr>
      </w:pPr>
      <w:r>
        <w:rPr>
          <w:b w:val="false"/>
        </w:rPr>
        <w:t>- centralnym serwerze Zamawiającego,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jc w:val="both"/>
        <w:rPr>
          <w:b w:val="false"/>
          <w:b w:val="false"/>
        </w:rPr>
      </w:pPr>
      <w:r>
        <w:rPr>
          <w:b w:val="false"/>
        </w:rPr>
        <w:t>- 6 stacjach klienckich SMW w obiektach WUW,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jc w:val="both"/>
        <w:rPr>
          <w:b w:val="false"/>
          <w:b w:val="false"/>
        </w:rPr>
      </w:pPr>
      <w:r>
        <w:rPr>
          <w:b w:val="false"/>
        </w:rPr>
        <w:t>- lokalnym serwerze Zamawiającego w delegaturze Urzędu w Koninie,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jc w:val="both"/>
        <w:rPr>
          <w:b w:val="false"/>
          <w:b w:val="false"/>
        </w:rPr>
      </w:pPr>
      <w:r>
        <w:rPr>
          <w:b w:val="false"/>
        </w:rPr>
        <w:t>- lokalnej stacji klienckiej w delegaturze Urzędu w Koninie.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>Zamawiający wymaga instalacji, uruchomienia i dostosowania dostarczonych kamer IP w systemie, zgodnie z obowiązującymi schematami i politykami.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>Zamawiający wymaga podłączenia pod nową konsolę drugiego serwera SeeTec Cayuga ulokowanego w delegaturze WUW w Koninie.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>Zamawiający wymaga zmiany położenia stacji SMW-1A na portierni głównej, tym samym definiuje krótszą odległość pomiędzy stacją a ścianą monitorów, ograniczoną do około 2m.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jc w:val="both"/>
        <w:rPr>
          <w:b w:val="false"/>
          <w:b w:val="false"/>
        </w:rPr>
      </w:pPr>
      <w:r>
        <w:rPr>
          <w:b w:val="false"/>
        </w:rPr>
        <w:t xml:space="preserve">Zamawiający wymaga aby dostosowane okablowanie strukturalne było zakończone w odpowiednich punktach dystrybucyjnych we wskazanych szafach informatycznych na Patch Panelu CCTV wykorzystując moduły systemowe RJ-45 CobiNet – obecnie stosowane. </w:t>
      </w:r>
    </w:p>
    <w:p>
      <w:pPr>
        <w:pStyle w:val="ListParagraph"/>
        <w:numPr>
          <w:ilvl w:val="0"/>
          <w:numId w:val="0"/>
        </w:numPr>
        <w:spacing w:lineRule="auto" w:line="360"/>
        <w:ind w:left="284" w:hanging="0"/>
        <w:rPr>
          <w:b w:val="false"/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rPr/>
      </w:pPr>
      <w:r>
        <w:rPr/>
        <w:t>Informacje dodatkowe: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>Zamawiający dysponuje fizyczną jednostką serwerową z systemem operacyjnym MS Windows Serwer 2012 R2 64Bit, na której funkcjonuje obsługa do 50. kamer Full HD oraz 6 stacji realizujących podgląd na żywo z wykorzystaniem aplikacji SeeTec Client. Na potrzeby realizacji migracji oprogramowania jednostka serwerowa z serwerem SeeTec Cayuga zostanie udostępniona w asyście administratorów systemu do instalacji, konfiguracji i dostosowania przez Wykonawcę.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 xml:space="preserve">Wykonawca powinien zainstalować i skonfigurować dostarczone kamery w systemie, zgodnie z obowiązującymi schematami, wykonać konfigurację systemu w nowej konsoli zapewniając również możliwość zarządzania jednostką serwerową w delegaturze Konin oraz dostarczyć zarejestrowaną u producenta licencję na wersję oprogramowania </w:t>
      </w:r>
      <w:r>
        <w:rPr/>
        <w:t>SeeTec</w:t>
      </w:r>
      <w:r>
        <w:rPr>
          <w:b w:val="false"/>
        </w:rPr>
        <w:t xml:space="preserve"> </w:t>
      </w:r>
      <w:r>
        <w:rPr/>
        <w:t>Cayuga</w:t>
      </w:r>
      <w:r>
        <w:rPr>
          <w:b w:val="false"/>
        </w:rPr>
        <w:t xml:space="preserve"> </w:t>
      </w:r>
      <w:r>
        <w:rPr/>
        <w:t>Infiinity</w:t>
      </w:r>
      <w:r>
        <w:rPr>
          <w:b w:val="false"/>
        </w:rPr>
        <w:t xml:space="preserve">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>Adresację nowych urządzeń oraz inne niezbędne elementy dostępowe zostaną po wyłonieniu wykonawcy i przekazane na etapie realizacji.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>Dwie z dostarczonych kamer będą zainstalowane na istniejących metalowych słupach przy szlabanach wjazdowych na parking przy budynku B. Zamawiający wymaga przedłużenia wysokości słupów na wysokość około 1m, odpowiedniego do panujących warunków umocowania i instalacji kamer w obudowach kopułowych lub kulowych. Lokalizacja fizyczna kolejnych dwóch kamer nie ulegnie zmianie. Zamawiający wymaga tylko wymiany uszkodzonych kamer z zachowaniem konfiguracji oraz parametrów obrazowania i rejestracji.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>Licencyjne numery instalacji Zamawiającego to odpowiednio: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14" w:hanging="0"/>
        <w:contextualSpacing/>
        <w:jc w:val="both"/>
        <w:rPr>
          <w:b w:val="false"/>
          <w:b w:val="false"/>
        </w:rPr>
      </w:pPr>
      <w:r>
        <w:rPr>
          <w:b w:val="false"/>
        </w:rPr>
        <w:t xml:space="preserve">- dla serwera głównego w Poznaniu Numer Instalacji: </w:t>
      </w:r>
      <w:r>
        <w:rPr/>
        <w:t>6006317</w:t>
      </w:r>
      <w:r>
        <w:rPr>
          <w:b w:val="false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14" w:hanging="0"/>
        <w:contextualSpacing/>
        <w:jc w:val="both"/>
        <w:rPr>
          <w:b w:val="false"/>
          <w:b w:val="false"/>
        </w:rPr>
      </w:pPr>
      <w:r>
        <w:rPr>
          <w:b w:val="false"/>
        </w:rPr>
        <w:t xml:space="preserve">- dla serwera w Koninie Numer Instalacji: </w:t>
      </w:r>
      <w:r>
        <w:rPr/>
        <w:t>6027179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>Zamawiający wymaga dostarczenia dokumentacji powykonawczej w ramach przeprowadzonych zmian i rozbudowy systemu CCTV IP WUW po zakończeniu prac.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b w:val="false"/>
          <w:b w:val="false"/>
        </w:rPr>
      </w:pPr>
      <w:r>
        <w:rPr>
          <w:b w:val="false"/>
        </w:rPr>
        <w:t>Zamawiający zaleca uczestnictwo w wizji lokalnej na obiekcie WUW przed złożeniem oferty w celu dobrania odpowiednich wariantów instalacji kamer i okablowania oraz doboru odpowiednich mocowań do panujących warunków w miejscu instalacji. W przypadku wymiany jednej z uszkodzonych kamer na elewacji budynku A może zaistnieć  konieczność zamówienia podnośnika.</w:t>
      </w:r>
    </w:p>
    <w:p>
      <w:pPr>
        <w:pStyle w:val="Normal"/>
        <w:spacing w:lineRule="auto" w:line="36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ind w:left="357" w:hanging="0"/>
        <w:jc w:val="both"/>
        <w:rPr/>
      </w:pPr>
      <w:r>
        <w:rPr/>
      </w:r>
    </w:p>
    <w:sectPr>
      <w:type w:val="nextPage"/>
      <w:pgSz w:w="11906" w:h="16838"/>
      <w:pgMar w:left="1418" w:right="1418" w:header="720" w:top="851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u w:val="none"/>
        <w:b w:val="false"/>
        <w:kern w:val="0"/>
        <w:szCs w:val="0"/>
        <w:iCs w:val="false"/>
        <w:bCs w:val="false"/>
        <w:em w:val="none"/>
        <w:w w:val="100"/>
        <w:vanish w:val="false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12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492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52149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f492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Tablesawcellcontent" w:customStyle="1">
    <w:name w:val="tablesaw-cell-content"/>
    <w:basedOn w:val="DefaultParagraphFont"/>
    <w:qFormat/>
    <w:rsid w:val="00aa24fa"/>
    <w:rPr/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2"/>
      <w:szCs w:val="0"/>
      <w:u w:val="none"/>
      <w:vertAlign w:val="baseline"/>
      <w:em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650c0"/>
    <w:pPr>
      <w:spacing w:before="0" w:after="200"/>
      <w:contextualSpacing/>
    </w:pPr>
    <w:rPr>
      <w:rFonts w:ascii="Times New Roman" w:hAnsi="Times New Roman"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58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LibreOffice/6.2.0.3$Windows_X86_64 LibreOffice_project/98c6a8a1c6c7b144ce3cc729e34964b47ce25d62</Application>
  <Pages>5</Pages>
  <Words>1068</Words>
  <Characters>6877</Characters>
  <CharactersWithSpaces>7816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2018-11-19T10:33:00Z</dcterms:created>
  <dc:creator>Daniel Janik</dc:creator>
  <dc:description/>
  <dc:language>pl-PL</dc:language>
  <cp:lastModifiedBy/>
  <cp:lastPrinted>2019-04-11T10:13:00Z</cp:lastPrinted>
  <dcterms:modified xsi:type="dcterms:W3CDTF">2019-04-17T09:16:33Z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