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61" w:rsidRDefault="00374BCE">
      <w:pPr>
        <w:pStyle w:val="Tytu"/>
        <w:jc w:val="center"/>
      </w:pPr>
      <w:r>
        <w:t>Zapytanie ofertowe</w:t>
      </w:r>
    </w:p>
    <w:p w:rsidR="00486E61" w:rsidRDefault="00374BCE">
      <w:pPr>
        <w:jc w:val="center"/>
      </w:pPr>
      <w:r>
        <w:rPr>
          <w:rStyle w:val="Pogrubienie"/>
          <w:i/>
          <w:iCs/>
        </w:rPr>
        <w:t>Niniejsze zapytanie nie stanowi oferty w rozumieniu art. 66 Kodeksu Cywilnego</w:t>
      </w:r>
    </w:p>
    <w:p w:rsidR="00486E61" w:rsidRDefault="00374BCE">
      <w:pPr>
        <w:pStyle w:val="Nagwek1"/>
      </w:pPr>
      <w:r>
        <w:t>OPIS PRZEDMIOTU ZAMÓWIENIA</w:t>
      </w:r>
    </w:p>
    <w:p w:rsidR="00486E61" w:rsidRDefault="00847384">
      <w:pPr>
        <w:pStyle w:val="Nagwek2"/>
      </w:pPr>
      <w:r>
        <w:t>Dostawa 6</w:t>
      </w:r>
      <w:r w:rsidR="00374BCE">
        <w:t xml:space="preserve"> OSUSZACZY BUDOWLANYCH</w:t>
      </w:r>
      <w:r>
        <w:t xml:space="preserve"> w dwóch typach (Po 3 dla każego typu)</w:t>
      </w:r>
    </w:p>
    <w:p w:rsidR="00486E61" w:rsidRDefault="00374BCE">
      <w:pPr>
        <w:pStyle w:val="Nagwek3"/>
        <w:rPr>
          <w:rStyle w:val="Wyrnienieintensywne"/>
        </w:rPr>
      </w:pPr>
      <w:r>
        <w:rPr>
          <w:rStyle w:val="Wyrnienieintensywne"/>
        </w:rPr>
        <w:t xml:space="preserve">Opis wymagań: </w:t>
      </w:r>
    </w:p>
    <w:p w:rsidR="00847384" w:rsidRPr="00847384" w:rsidRDefault="00847384" w:rsidP="0084738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 1 </w:t>
      </w:r>
    </w:p>
    <w:p w:rsidR="00486E61" w:rsidRDefault="00374BCE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</w:t>
      </w:r>
      <w:r w:rsidR="00847384">
        <w:rPr>
          <w:rFonts w:ascii="Times New Roman" w:eastAsia="Times New Roman" w:hAnsi="Times New Roman" w:cs="Times New Roman"/>
          <w:sz w:val="24"/>
          <w:szCs w:val="24"/>
          <w:lang w:eastAsia="pl-PL"/>
        </w:rPr>
        <w:t>ot zamówienia obejmuje dostawę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sztuk osuszaczy budowlanych,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charakteryzujących się:</w:t>
      </w:r>
    </w:p>
    <w:p w:rsidR="00486E61" w:rsidRDefault="00374BCE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Wysoką wydajnością osuszania, również w temperaturze poniżej 15°C,</w:t>
      </w:r>
    </w:p>
    <w:p w:rsidR="00486E61" w:rsidRDefault="00374BCE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Możliwością osuszania po zalaniu pomieszczeń </w:t>
      </w:r>
      <w:r w:rsidR="00847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kubaturze od 500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800 m³,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utrzymywania w stanie suchym pomieszczeń do kubatury co najmniej 15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>00 m³</w:t>
      </w:r>
    </w:p>
    <w:p w:rsidR="00486E61" w:rsidRDefault="00374BCE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Możliwością zastosowaniem przy temperaturach od 0°C do 40°C,</w:t>
      </w:r>
    </w:p>
    <w:p w:rsidR="00486E61" w:rsidRDefault="00374BCE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Wyposażanego w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ydajną sprężarką rotacyjną,</w:t>
      </w:r>
    </w:p>
    <w:p w:rsidR="00486E61" w:rsidRDefault="00374BCE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Odpo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rną na uszkodzenia 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>metalową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stalową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obudową,</w:t>
      </w:r>
    </w:p>
    <w:p w:rsidR="00486E61" w:rsidRDefault="00374BCE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mocą osuszania 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150</w:t>
      </w:r>
      <w:r w:rsidR="00847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847384">
        <w:rPr>
          <w:rFonts w:ascii="Times New Roman" w:eastAsia="Times New Roman" w:hAnsi="Times New Roman" w:cs="Times New Roman"/>
          <w:sz w:val="24"/>
          <w:szCs w:val="24"/>
          <w:lang w:eastAsia="pl-PL"/>
        </w:rPr>
        <w:t>itrów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24h,</w:t>
      </w:r>
    </w:p>
    <w:p w:rsidR="009E24D0" w:rsidRDefault="00374BCE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Zakresem wilgo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>tności roboczej – 35 – 100 % RH (dopuszczalne odstępstwo o 10%),</w:t>
      </w:r>
    </w:p>
    <w:p w:rsidR="009E24D0" w:rsidRPr="009E24D0" w:rsidRDefault="009E24D0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Wyposażonego w koła i uchwyt transportowy,</w:t>
      </w:r>
    </w:p>
    <w:p w:rsidR="00847384" w:rsidRDefault="00847384" w:rsidP="0084738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 Wyposażonego w licznik roboczogodzin oraz filtr</w:t>
      </w:r>
      <w:r w:rsidR="00374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powietrza. </w:t>
      </w:r>
    </w:p>
    <w:p w:rsidR="00847384" w:rsidRDefault="00847384" w:rsidP="0084738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 Napięcie zasilania 230 V</w:t>
      </w:r>
    </w:p>
    <w:p w:rsidR="00847384" w:rsidRDefault="00847384" w:rsidP="0084738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 Pobór mocy maks. 2,5 KW</w:t>
      </w:r>
    </w:p>
    <w:p w:rsidR="00486E61" w:rsidRDefault="00486E6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7384" w:rsidRDefault="0084738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7384" w:rsidRDefault="0084738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 – 2 </w:t>
      </w:r>
    </w:p>
    <w:p w:rsidR="00847384" w:rsidRDefault="00847384" w:rsidP="00847384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 dostawę 3 sztuk osuszaczy budowlanych, charakteryzujących się:</w:t>
      </w:r>
    </w:p>
    <w:p w:rsidR="00847384" w:rsidRDefault="00847384" w:rsidP="00847384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Wysoką wydajnością osuszania, również w temperaturze poniżej 15°C,</w:t>
      </w:r>
    </w:p>
    <w:p w:rsidR="00847384" w:rsidRDefault="00847384" w:rsidP="00847384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Możliwością 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utrzymywania w stanie suchym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pomieszczeń o kubaturze od 500 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>do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 m³,</w:t>
      </w:r>
    </w:p>
    <w:p w:rsidR="00847384" w:rsidRDefault="00847384" w:rsidP="00847384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Możliwością zastosowaniem przy temperaturach od 0°C do 40°C,</w:t>
      </w:r>
    </w:p>
    <w:p w:rsidR="00847384" w:rsidRDefault="00847384" w:rsidP="00847384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>Wbudowany higrostat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47384" w:rsidRDefault="00847384" w:rsidP="00847384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Odpo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rną na uszkodzenia meta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>lową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(stalowa)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obudową,</w:t>
      </w:r>
    </w:p>
    <w:p w:rsidR="00847384" w:rsidRDefault="00847384" w:rsidP="00847384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mocą osuszania co najmniej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80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litrów / 24h,</w:t>
      </w:r>
    </w:p>
    <w:p w:rsidR="00847384" w:rsidRDefault="00847384" w:rsidP="0084738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Zakresem wilgo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>tności roboczej – 35 – 100 % RH</w:t>
      </w:r>
      <w:r w:rsidR="009E24D0" w:rsidRP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>(dopuszczalne odstępstwo o 10%)</w:t>
      </w:r>
      <w:r w:rsidR="009E2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E24D0" w:rsidRDefault="009E24D0" w:rsidP="00847384">
      <w:pPr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Wyposażonego w koła i uchwyt transportowy,</w:t>
      </w:r>
    </w:p>
    <w:p w:rsidR="00847384" w:rsidRDefault="009E24D0" w:rsidP="0084738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847384">
        <w:rPr>
          <w:rFonts w:ascii="Times New Roman" w:eastAsia="Times New Roman" w:hAnsi="Times New Roman" w:cs="Times New Roman"/>
          <w:sz w:val="24"/>
          <w:szCs w:val="24"/>
          <w:lang w:eastAsia="pl-PL"/>
        </w:rPr>
        <w:t>. Napięcie zasilania 230 V</w:t>
      </w:r>
    </w:p>
    <w:p w:rsidR="00847384" w:rsidRDefault="009E24D0" w:rsidP="00847384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847384">
        <w:rPr>
          <w:rFonts w:ascii="Times New Roman" w:eastAsia="Times New Roman" w:hAnsi="Times New Roman" w:cs="Times New Roman"/>
          <w:sz w:val="24"/>
          <w:szCs w:val="24"/>
          <w:lang w:eastAsia="pl-PL"/>
        </w:rPr>
        <w:t>. Pobór mocy maks. 1,7 KW</w:t>
      </w:r>
    </w:p>
    <w:p w:rsidR="00847384" w:rsidRDefault="00847384">
      <w:pPr>
        <w:spacing w:before="0" w:after="0" w:line="240" w:lineRule="auto"/>
        <w:jc w:val="both"/>
      </w:pPr>
    </w:p>
    <w:p w:rsidR="00486E61" w:rsidRDefault="00374BCE">
      <w:pPr>
        <w:pStyle w:val="Nagwek3"/>
      </w:pPr>
      <w:r>
        <w:rPr>
          <w:rStyle w:val="Wyrnienieintensywne"/>
        </w:rPr>
        <w:t>Wymagania szczegółowe:</w:t>
      </w:r>
    </w:p>
    <w:p w:rsidR="00486E61" w:rsidRDefault="00374BCE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dos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tarczy  przedmiot zamówienia do wskazanej lokalizacji Zamawiającego wraz z rozładowaniem na terenie województwa wielkopolskiego. </w:t>
      </w:r>
    </w:p>
    <w:p w:rsidR="000B70D9" w:rsidRDefault="000B70D9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oferty tylko na jeden ze wskazanych typów osuszaczy. Oferta musi uwzględniać fakt, że każdy typ będzie oceniany oddzielnie.</w:t>
      </w:r>
    </w:p>
    <w:p w:rsidR="000B70D9" w:rsidRDefault="000B70D9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70D9" w:rsidRDefault="000B70D9">
      <w:pPr>
        <w:spacing w:before="0" w:after="0" w:line="240" w:lineRule="auto"/>
        <w:jc w:val="both"/>
      </w:pPr>
    </w:p>
    <w:p w:rsidR="00486E61" w:rsidRDefault="00374BCE">
      <w:pPr>
        <w:pStyle w:val="Nagwek1"/>
      </w:pPr>
      <w:r>
        <w:lastRenderedPageBreak/>
        <w:t>OPIS KRYTERIÓW WYBORU WYKONAWCY</w:t>
      </w:r>
    </w:p>
    <w:p w:rsidR="00486E61" w:rsidRDefault="00374BCE">
      <w:r>
        <w:t>Kryterium wyboru ofert jest cena wynosi 100%.</w:t>
      </w:r>
    </w:p>
    <w:p w:rsidR="00486E61" w:rsidRDefault="00374BCE">
      <w:pPr>
        <w:pStyle w:val="Nagwek1"/>
      </w:pPr>
      <w:r>
        <w:t>Warunki Realizacji zamówienia</w:t>
      </w:r>
    </w:p>
    <w:p w:rsidR="00486E61" w:rsidRDefault="00374BCE">
      <w:r>
        <w:t xml:space="preserve">Zamówienie należy </w:t>
      </w:r>
      <w:r>
        <w:t>wykonać w nieprzekraczalnym terminie do dnia 10 grudnia 2019 r.</w:t>
      </w:r>
    </w:p>
    <w:p w:rsidR="00486E61" w:rsidRDefault="00374BCE">
      <w:pPr>
        <w:pStyle w:val="Nagwek1"/>
      </w:pPr>
      <w:r>
        <w:t xml:space="preserve">Termin składania odpowiedzi na zapytania ofertowe </w:t>
      </w:r>
    </w:p>
    <w:p w:rsidR="00486E61" w:rsidRDefault="000B70D9">
      <w:pPr>
        <w:rPr>
          <w:highlight w:val="yellow"/>
        </w:rPr>
      </w:pPr>
      <w:r>
        <w:rPr>
          <w:highlight w:val="yellow"/>
        </w:rPr>
        <w:t xml:space="preserve">Składanie ofert </w:t>
      </w:r>
      <w:r w:rsidR="00374BCE">
        <w:rPr>
          <w:highlight w:val="yellow"/>
        </w:rPr>
        <w:t>do dnia 12 października</w:t>
      </w:r>
      <w:r w:rsidR="00374BCE">
        <w:rPr>
          <w:highlight w:val="yellow"/>
        </w:rPr>
        <w:t xml:space="preserve"> </w:t>
      </w:r>
      <w:r w:rsidR="00374BCE">
        <w:rPr>
          <w:highlight w:val="yellow"/>
        </w:rPr>
        <w:t>2019 r.</w:t>
      </w:r>
    </w:p>
    <w:p w:rsidR="00486E61" w:rsidRDefault="00374BCE">
      <w:pPr>
        <w:pStyle w:val="Nagwek1"/>
      </w:pPr>
      <w:r>
        <w:t>Sposób komunikacji</w:t>
      </w:r>
    </w:p>
    <w:p w:rsidR="00486E61" w:rsidRDefault="00374BCE">
      <w:pPr>
        <w:jc w:val="both"/>
      </w:pPr>
      <w:r>
        <w:rPr>
          <w:rFonts w:ascii="Times New Roman" w:hAnsi="Times New Roman"/>
          <w:sz w:val="24"/>
          <w:szCs w:val="24"/>
        </w:rPr>
        <w:t>K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orespondencję proszę kierować na adres Wydziału Bezpieczeństwa i Zarządzania Kryzysowego </w:t>
      </w:r>
      <w:hyperlink r:id="rId6">
        <w:r>
          <w:rPr>
            <w:rStyle w:val="czeinternetowe"/>
            <w:rFonts w:ascii="Times New Roman" w:hAnsi="Times New Roman"/>
            <w:sz w:val="24"/>
            <w:szCs w:val="24"/>
          </w:rPr>
          <w:t>zk@poznan.uw.gov.pl</w:t>
        </w:r>
      </w:hyperlink>
      <w:r>
        <w:rPr>
          <w:rFonts w:ascii="Times New Roman" w:hAnsi="Times New Roman"/>
          <w:sz w:val="24"/>
          <w:szCs w:val="24"/>
        </w:rPr>
        <w:t>. Informacji szczegółowe można uzyskać pod telefonem 61 854 9972 – sekretariat Wydziału.</w:t>
      </w:r>
    </w:p>
    <w:p w:rsidR="00486E61" w:rsidRDefault="00486E61"/>
    <w:p w:rsidR="00486E61" w:rsidRDefault="00486E61"/>
    <w:sectPr w:rsidR="00486E61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61"/>
    <w:rsid w:val="000B70D9"/>
    <w:rsid w:val="00374BCE"/>
    <w:rsid w:val="00486E61"/>
    <w:rsid w:val="00847384"/>
    <w:rsid w:val="009E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2CB3"/>
  <w15:docId w15:val="{81F07903-B9B4-442C-9E4E-613A763C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644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C3644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3644"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3644"/>
    <w:pPr>
      <w:pBdr>
        <w:top w:val="single" w:sz="6" w:space="2" w:color="4472C4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644"/>
    <w:pPr>
      <w:pBdr>
        <w:top w:val="dotted" w:sz="6" w:space="2" w:color="4472C4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644"/>
    <w:pPr>
      <w:pBdr>
        <w:bottom w:val="single" w:sz="6" w:space="1" w:color="4472C4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644"/>
    <w:pPr>
      <w:pBdr>
        <w:bottom w:val="dotted" w:sz="6" w:space="1" w:color="4472C4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64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64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64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C3644"/>
    <w:rPr>
      <w:caps/>
      <w:color w:val="FFFFFF" w:themeColor="background1"/>
      <w:spacing w:val="15"/>
      <w:sz w:val="22"/>
      <w:szCs w:val="22"/>
      <w:shd w:val="clear" w:color="auto" w:fill="4472C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C3644"/>
    <w:rPr>
      <w:caps/>
      <w:spacing w:val="15"/>
      <w:shd w:val="clear" w:color="auto" w:fill="D9E2F3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C3644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C364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C3644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C364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C3644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C3644"/>
    <w:rPr>
      <w:b/>
      <w:bCs/>
    </w:rPr>
  </w:style>
  <w:style w:type="character" w:customStyle="1" w:styleId="Wyrnienie">
    <w:name w:val="Wyróżnienie"/>
    <w:uiPriority w:val="20"/>
    <w:qFormat/>
    <w:rsid w:val="004C3644"/>
    <w:rPr>
      <w:caps/>
      <w:color w:val="1F3763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C3644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C3644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4C3644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4C3644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4C3644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4C3644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4C3644"/>
    <w:rPr>
      <w:b/>
      <w:bCs/>
      <w:i/>
      <w:iCs/>
      <w:spacing w:val="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E3A54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E3A54"/>
    <w:rPr>
      <w:vertAlign w:val="superscript"/>
    </w:rPr>
  </w:style>
  <w:style w:type="character" w:customStyle="1" w:styleId="ui-text">
    <w:name w:val="ui-text"/>
    <w:basedOn w:val="Domylnaczcionkaakapitu"/>
    <w:qFormat/>
    <w:rsid w:val="00830855"/>
  </w:style>
  <w:style w:type="character" w:customStyle="1" w:styleId="czeinternetowe">
    <w:name w:val="Łącze internetowe"/>
    <w:basedOn w:val="Domylnaczcionkaakapitu"/>
    <w:uiPriority w:val="99"/>
    <w:unhideWhenUsed/>
    <w:rsid w:val="00E1763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E1763C"/>
    <w:rPr>
      <w:color w:val="808080"/>
      <w:shd w:val="clear" w:color="auto" w:fill="E6E6E6"/>
    </w:rPr>
  </w:style>
  <w:style w:type="character" w:customStyle="1" w:styleId="ListLabel1">
    <w:name w:val="ListLabel 1"/>
    <w:qFormat/>
  </w:style>
  <w:style w:type="character" w:customStyle="1" w:styleId="Znakiprzypiswkocowych">
    <w:name w:val="Znaki przypisów końcow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3644"/>
    <w:rPr>
      <w:b/>
      <w:bCs/>
      <w:color w:val="2F5496" w:themeColor="accent1" w:themeShade="BF"/>
      <w:sz w:val="16"/>
      <w:szCs w:val="16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4C364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64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4C3644"/>
    <w:pPr>
      <w:spacing w:before="100"/>
    </w:pPr>
  </w:style>
  <w:style w:type="paragraph" w:styleId="Cytat">
    <w:name w:val="Quote"/>
    <w:basedOn w:val="Normalny"/>
    <w:next w:val="Normalny"/>
    <w:link w:val="CytatZnak"/>
    <w:uiPriority w:val="29"/>
    <w:qFormat/>
    <w:rsid w:val="004C3644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64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3644"/>
    <w:pPr>
      <w:shd w:val="clear" w:color="auto" w:fill="4472C4"/>
    </w:pPr>
  </w:style>
  <w:style w:type="paragraph" w:styleId="Akapitzlist">
    <w:name w:val="List Paragraph"/>
    <w:basedOn w:val="Normalny"/>
    <w:uiPriority w:val="34"/>
    <w:qFormat/>
    <w:rsid w:val="004C36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A54"/>
    <w:pPr>
      <w:spacing w:before="0" w:after="0" w:line="240" w:lineRule="auto"/>
    </w:pPr>
  </w:style>
  <w:style w:type="table" w:styleId="Tabela-Siatka">
    <w:name w:val="Table Grid"/>
    <w:basedOn w:val="Standardowy"/>
    <w:uiPriority w:val="39"/>
    <w:rsid w:val="0033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k@poznan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3958E-3A38-4F9F-AE23-8195F91E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wpaternoga</dc:creator>
  <dc:description/>
  <cp:lastModifiedBy>Waldemar Paternoga</cp:lastModifiedBy>
  <cp:revision>3</cp:revision>
  <dcterms:created xsi:type="dcterms:W3CDTF">2019-10-03T08:23:00Z</dcterms:created>
  <dcterms:modified xsi:type="dcterms:W3CDTF">2019-10-03T08:26:00Z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